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B462C">
        <w:rPr>
          <w:rFonts w:eastAsia="宋体"/>
          <w:lang w:eastAsia="zh-CN"/>
        </w:rPr>
        <w:t xml:space="preserve"> </w:t>
      </w:r>
      <w:r w:rsidR="00AE16DB">
        <w:rPr>
          <w:rFonts w:eastAsia="宋体"/>
          <w:lang w:eastAsia="zh-CN"/>
        </w:rPr>
        <w:t xml:space="preserve">   </w:t>
      </w:r>
      <w:r w:rsidR="002B462C" w:rsidRPr="002B462C">
        <w:t>R4-2114506</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14913" w:rsidRPr="00014913">
        <w:rPr>
          <w:rFonts w:ascii="Arial" w:hAnsi="Arial" w:cs="Arial"/>
          <w:sz w:val="22"/>
        </w:rPr>
        <w:t>On TDM operation for NR SL</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B462C" w:rsidRPr="002B462C">
        <w:rPr>
          <w:rFonts w:ascii="Arial" w:hAnsi="Arial" w:cs="Arial"/>
          <w:sz w:val="22"/>
        </w:rPr>
        <w:t>9.15.5.2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5E715E" w:rsidP="009A089A">
      <w:r>
        <w:t>TDM operation for NR SL was further discussed in last RAN4 meeting, as agreed in RAN4#98bis, TDM operation has higher priority in Rel-17 comparted to FDM, therefore, this contribution is focused on TDM operation.</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5E715E" w:rsidP="005369EE">
      <w:pPr>
        <w:rPr>
          <w:lang w:val="en-US" w:eastAsia="en-US"/>
        </w:rPr>
      </w:pPr>
      <w:r>
        <w:rPr>
          <w:lang w:val="en-US" w:eastAsia="en-US"/>
        </w:rPr>
        <w:t>Several issues related to TDM operation in last meeting had agreed WF, i.e.</w:t>
      </w:r>
    </w:p>
    <w:p w:rsidR="005E715E" w:rsidRPr="005E715E" w:rsidRDefault="005E715E" w:rsidP="00D96CA3">
      <w:pPr>
        <w:pStyle w:val="ListParagraph"/>
        <w:numPr>
          <w:ilvl w:val="0"/>
          <w:numId w:val="44"/>
        </w:numPr>
        <w:ind w:firstLineChars="0"/>
        <w:rPr>
          <w:i/>
          <w:lang w:val="en-US" w:eastAsia="en-US"/>
        </w:rPr>
      </w:pPr>
      <w:r w:rsidRPr="005E715E">
        <w:rPr>
          <w:rFonts w:ascii="Times New Roman" w:hAnsi="Times New Roman"/>
          <w:i/>
          <w:kern w:val="0"/>
          <w:sz w:val="20"/>
          <w:szCs w:val="20"/>
          <w:lang w:val="en-US" w:eastAsia="en-US"/>
        </w:rPr>
        <w:t>Prioritize the scenario for Uu and SL in both the same carrier and different carrier for intra-band V2X operation (TDM).</w:t>
      </w:r>
    </w:p>
    <w:p w:rsidR="005E715E" w:rsidRDefault="005E715E" w:rsidP="005E715E">
      <w:pPr>
        <w:pStyle w:val="ListParagraph"/>
        <w:numPr>
          <w:ilvl w:val="0"/>
          <w:numId w:val="44"/>
        </w:numPr>
        <w:ind w:firstLineChars="0"/>
        <w:rPr>
          <w:rFonts w:ascii="Times New Roman" w:hAnsi="Times New Roman"/>
          <w:i/>
          <w:kern w:val="0"/>
          <w:sz w:val="20"/>
          <w:szCs w:val="20"/>
          <w:lang w:val="en-US" w:eastAsia="en-US"/>
        </w:rPr>
      </w:pPr>
      <w:r w:rsidRPr="005E715E">
        <w:rPr>
          <w:rFonts w:ascii="Times New Roman" w:hAnsi="Times New Roman" w:hint="eastAsia"/>
          <w:i/>
          <w:kern w:val="0"/>
          <w:sz w:val="20"/>
          <w:szCs w:val="20"/>
          <w:lang w:val="en-US" w:eastAsia="en-US"/>
        </w:rPr>
        <w:t>Switching period position</w:t>
      </w:r>
      <w:r>
        <w:rPr>
          <w:rFonts w:ascii="Times New Roman" w:hAnsi="Times New Roman" w:hint="eastAsia"/>
          <w:i/>
          <w:kern w:val="0"/>
          <w:sz w:val="20"/>
          <w:szCs w:val="20"/>
          <w:lang w:val="en-US" w:eastAsia="zh-CN"/>
        </w:rPr>
        <w:t>:</w:t>
      </w:r>
      <w:r>
        <w:rPr>
          <w:rFonts w:ascii="Times New Roman" w:hAnsi="Times New Roman"/>
          <w:i/>
          <w:kern w:val="0"/>
          <w:sz w:val="20"/>
          <w:szCs w:val="20"/>
          <w:lang w:val="en-US" w:eastAsia="zh-CN"/>
        </w:rPr>
        <w:t xml:space="preserve"> </w:t>
      </w:r>
      <w:r w:rsidRPr="005E715E">
        <w:rPr>
          <w:rFonts w:ascii="Times New Roman" w:hAnsi="Times New Roman" w:hint="eastAsia"/>
          <w:i/>
          <w:kern w:val="0"/>
          <w:sz w:val="20"/>
          <w:szCs w:val="20"/>
          <w:lang w:val="en-US" w:eastAsia="en-US"/>
        </w:rPr>
        <w:t>The priority rule, i.e. the switching period is located on the RAT that has a lower priority, is considered as a starting point.</w:t>
      </w:r>
    </w:p>
    <w:p w:rsidR="005E715E" w:rsidRPr="005E715E" w:rsidRDefault="005E715E" w:rsidP="005E715E">
      <w:pPr>
        <w:pStyle w:val="ListParagraph"/>
        <w:numPr>
          <w:ilvl w:val="0"/>
          <w:numId w:val="44"/>
        </w:numPr>
        <w:ind w:firstLineChars="0"/>
        <w:rPr>
          <w:rFonts w:ascii="Times New Roman" w:hAnsi="Times New Roman"/>
          <w:i/>
          <w:kern w:val="0"/>
          <w:sz w:val="20"/>
          <w:szCs w:val="20"/>
          <w:lang w:val="en-US" w:eastAsia="en-US"/>
        </w:rPr>
      </w:pPr>
      <w:r w:rsidRPr="005E715E">
        <w:rPr>
          <w:rFonts w:ascii="Times New Roman" w:hAnsi="Times New Roman"/>
          <w:i/>
          <w:kern w:val="0"/>
          <w:sz w:val="20"/>
          <w:szCs w:val="20"/>
          <w:lang w:val="en-US" w:eastAsia="en-US"/>
        </w:rPr>
        <w:t>Scheduling restriction for switching: Leave scheduling restriction for switching to RRM session.</w:t>
      </w:r>
    </w:p>
    <w:p w:rsidR="005369EE" w:rsidRPr="001A2763" w:rsidRDefault="001A2763" w:rsidP="007F531F">
      <w:pPr>
        <w:pStyle w:val="CharChar"/>
        <w:rPr>
          <w:rFonts w:ascii="Times New Roman" w:hAnsi="Times New Roman" w:cs="Times New Roman"/>
          <w:color w:val="auto"/>
          <w:kern w:val="0"/>
          <w:lang w:eastAsia="en-US"/>
        </w:rPr>
      </w:pPr>
      <w:r>
        <w:rPr>
          <w:rFonts w:ascii="Times New Roman" w:hAnsi="Times New Roman" w:cs="Times New Roman"/>
          <w:color w:val="auto"/>
          <w:kern w:val="0"/>
          <w:lang w:eastAsia="en-US"/>
        </w:rPr>
        <w:t>T</w:t>
      </w:r>
      <w:r w:rsidRPr="001A2763">
        <w:rPr>
          <w:rFonts w:ascii="Times New Roman" w:hAnsi="Times New Roman" w:cs="Times New Roman"/>
          <w:color w:val="auto"/>
          <w:kern w:val="0"/>
          <w:lang w:eastAsia="en-US"/>
        </w:rPr>
        <w:t>he</w:t>
      </w:r>
      <w:r>
        <w:rPr>
          <w:rFonts w:ascii="Times New Roman" w:hAnsi="Times New Roman" w:cs="Times New Roman"/>
          <w:color w:val="auto"/>
          <w:kern w:val="0"/>
          <w:lang w:eastAsia="en-US"/>
        </w:rPr>
        <w:t xml:space="preserve"> agreements above are related to two aspects in our view, i.e. switching period and guard period.</w:t>
      </w:r>
    </w:p>
    <w:p w:rsidR="007F531F" w:rsidRPr="007F531F" w:rsidRDefault="007F531F" w:rsidP="007F531F">
      <w:pPr>
        <w:pStyle w:val="Heading2"/>
        <w:spacing w:after="240"/>
        <w:rPr>
          <w:lang w:eastAsia="zh-CN"/>
        </w:rPr>
      </w:pPr>
      <w:r>
        <w:rPr>
          <w:lang w:eastAsia="zh-CN"/>
        </w:rPr>
        <w:t xml:space="preserve">Switching </w:t>
      </w:r>
      <w:r w:rsidR="001A2763">
        <w:rPr>
          <w:lang w:eastAsia="zh-CN"/>
        </w:rPr>
        <w:t>period</w:t>
      </w:r>
    </w:p>
    <w:p w:rsidR="007F531F" w:rsidRDefault="001A2763" w:rsidP="001A2763">
      <w:pPr>
        <w:rPr>
          <w:lang w:val="en-US" w:eastAsia="en-US"/>
        </w:rPr>
      </w:pPr>
      <w:r>
        <w:rPr>
          <w:lang w:val="en-US" w:eastAsia="en-US"/>
        </w:rPr>
        <w:t xml:space="preserve">In Rel-16, though the specific value of switching time was not captured in the specification, the agreement of the switching time is 150us including 120us switching time plus 20us and 10us transient period for LTE and NR respectively. Noted that the switching time covers both contiguous and non-contiguous cases. </w:t>
      </w:r>
    </w:p>
    <w:p w:rsidR="00965F58" w:rsidRPr="001A2763" w:rsidRDefault="00965F58" w:rsidP="001A2763">
      <w:pPr>
        <w:rPr>
          <w:lang w:val="en-US" w:eastAsia="en-US"/>
        </w:rPr>
      </w:pPr>
      <w:r>
        <w:rPr>
          <w:lang w:val="en-US" w:eastAsia="en-US"/>
        </w:rPr>
        <w:t xml:space="preserve">According to the scope of Rel-16 NR SL WI, it does not include the case where LTE SL and NR SL share the same carrier. While for Rel-17 NR SL, Uu and SL in the same carrier for TDM operation has high priority. Obviously, the switching time for same carrier could be very short. </w:t>
      </w:r>
    </w:p>
    <w:p w:rsidR="007F531F" w:rsidRDefault="00965F58" w:rsidP="007F531F">
      <w:pPr>
        <w:rPr>
          <w:lang w:val="en-US" w:eastAsia="en-US"/>
        </w:rPr>
      </w:pPr>
      <w:r>
        <w:rPr>
          <w:lang w:val="en-US" w:eastAsia="en-US"/>
        </w:rPr>
        <w:t xml:space="preserve">For case of different carrier, the Rel-16 agreement on switching period could be reused for Rel-17 switching scenario between Uu and SL. </w:t>
      </w:r>
    </w:p>
    <w:p w:rsidR="008B41AF" w:rsidRDefault="008B41AF" w:rsidP="007F531F">
      <w:pPr>
        <w:rPr>
          <w:b/>
          <w:i/>
          <w:lang w:val="en-US" w:eastAsia="en-US"/>
        </w:rPr>
      </w:pPr>
      <w:r w:rsidRPr="008B41AF">
        <w:rPr>
          <w:b/>
          <w:i/>
          <w:lang w:val="en-US" w:eastAsia="en-US"/>
        </w:rPr>
        <w:t>Observation</w:t>
      </w:r>
      <w:r>
        <w:rPr>
          <w:b/>
          <w:i/>
          <w:lang w:val="en-US" w:eastAsia="en-US"/>
        </w:rPr>
        <w:t xml:space="preserve"> 1</w:t>
      </w:r>
      <w:r w:rsidRPr="008B41AF">
        <w:rPr>
          <w:b/>
          <w:i/>
          <w:lang w:val="en-US" w:eastAsia="en-US"/>
        </w:rPr>
        <w:t xml:space="preserve">: </w:t>
      </w:r>
      <w:r>
        <w:rPr>
          <w:b/>
          <w:i/>
          <w:lang w:val="en-US" w:eastAsia="en-US"/>
        </w:rPr>
        <w:t>The switching time discussed in Rel-16 is for cases of different carriers between LTE SL and NR SL, which is not appropriate Rel-17 for switching case in same carrier for Uu and SL</w:t>
      </w:r>
    </w:p>
    <w:p w:rsidR="008B41AF" w:rsidRPr="008B41AF" w:rsidRDefault="008B41AF" w:rsidP="007F531F">
      <w:pPr>
        <w:rPr>
          <w:b/>
          <w:i/>
          <w:lang w:val="en-US" w:eastAsia="en-US"/>
        </w:rPr>
      </w:pPr>
      <w:r>
        <w:rPr>
          <w:b/>
          <w:i/>
          <w:lang w:val="en-US" w:eastAsia="en-US"/>
        </w:rPr>
        <w:t>Proposal 1: It is proposed to consider switching time separately for cases of same carrier and different carriers</w:t>
      </w:r>
    </w:p>
    <w:p w:rsidR="001A2763" w:rsidRPr="007F531F" w:rsidRDefault="001A2763" w:rsidP="001A2763">
      <w:pPr>
        <w:pStyle w:val="Heading2"/>
        <w:spacing w:after="240"/>
        <w:rPr>
          <w:lang w:eastAsia="zh-CN"/>
        </w:rPr>
      </w:pPr>
      <w:r>
        <w:rPr>
          <w:lang w:eastAsia="zh-CN"/>
        </w:rPr>
        <w:t>Guard period</w:t>
      </w:r>
    </w:p>
    <w:p w:rsidR="001A2763" w:rsidRDefault="003C7C4E" w:rsidP="007F531F">
      <w:pPr>
        <w:rPr>
          <w:lang w:eastAsia="en-US"/>
        </w:rPr>
      </w:pPr>
      <w:r>
        <w:rPr>
          <w:lang w:eastAsia="en-US"/>
        </w:rPr>
        <w:t xml:space="preserve">It was agreed to leave the scheduling restriction of switching to RRM session, but the scenarios are not exactly the same as that in Rel-16, thus we think that some further discussion in RF session is needed. </w:t>
      </w:r>
    </w:p>
    <w:p w:rsidR="003C7C4E" w:rsidRDefault="003C7C4E" w:rsidP="007F531F">
      <w:pPr>
        <w:rPr>
          <w:lang w:eastAsia="en-US"/>
        </w:rPr>
      </w:pPr>
      <w:r>
        <w:rPr>
          <w:lang w:eastAsia="en-US"/>
        </w:rPr>
        <w:t xml:space="preserve">Figure 1 shows the SL timing relationship with UL and DL. We know that SL transmission timing aligned with received DL timing was adopted in Rel-16, but the conclusion was drawn based on the assumption for ITS band only. In Rel-17, the scenario was extended to Uu and SL coexist in the licensed bands. To avoid the interference between Uu and SL, an LS was sent to RAN1 to seek the possibility of SL alignment with UL. </w:t>
      </w:r>
    </w:p>
    <w:p w:rsidR="001A2763" w:rsidRDefault="001A2763" w:rsidP="001A2763">
      <w:pPr>
        <w:spacing w:after="0"/>
        <w:jc w:val="center"/>
        <w:rPr>
          <w:lang w:val="en-US" w:eastAsia="en-US"/>
        </w:rPr>
      </w:pPr>
      <w:r>
        <w:rPr>
          <w:noProof/>
          <w:lang w:val="en-US"/>
        </w:rPr>
        <w:lastRenderedPageBreak/>
        <w:drawing>
          <wp:inline distT="0" distB="0" distL="0" distR="0" wp14:anchorId="7948A634" wp14:editId="731D1651">
            <wp:extent cx="4655820" cy="2513965"/>
            <wp:effectExtent l="0" t="0" r="0" b="635"/>
            <wp:docPr id="2" name="图片 2" descr="C:\Users\g00443958\AppData\Roaming\eSpace_Desktop\UserData\g00443958\imagefiles\BAB08F73-6C2C-475F-800C-5B6AC14CFC0C.png"/>
            <wp:cNvGraphicFramePr/>
            <a:graphic xmlns:a="http://schemas.openxmlformats.org/drawingml/2006/main">
              <a:graphicData uri="http://schemas.openxmlformats.org/drawingml/2006/picture">
                <pic:pic xmlns:pic="http://schemas.openxmlformats.org/drawingml/2006/picture">
                  <pic:nvPicPr>
                    <pic:cNvPr id="2" name="图片 2" descr="C:\Users\g00443958\AppData\Roaming\eSpace_Desktop\UserData\g00443958\imagefiles\BAB08F73-6C2C-475F-800C-5B6AC14CFC0C.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5820" cy="2513965"/>
                    </a:xfrm>
                    <a:prstGeom prst="rect">
                      <a:avLst/>
                    </a:prstGeom>
                    <a:noFill/>
                    <a:ln>
                      <a:noFill/>
                    </a:ln>
                  </pic:spPr>
                </pic:pic>
              </a:graphicData>
            </a:graphic>
          </wp:inline>
        </w:drawing>
      </w:r>
    </w:p>
    <w:p w:rsidR="001A2763" w:rsidRPr="007F531F" w:rsidRDefault="001A2763" w:rsidP="001A2763">
      <w:pPr>
        <w:pStyle w:val="Caption"/>
        <w:jc w:val="center"/>
        <w:rPr>
          <w:rFonts w:ascii="Arial" w:hAnsi="Arial" w:cs="Arial"/>
        </w:rPr>
      </w:pPr>
      <w:bookmarkStart w:id="3" w:name="_Ref71531870"/>
      <w:r w:rsidRPr="007F531F">
        <w:rPr>
          <w:rFonts w:ascii="Arial" w:hAnsi="Arial" w:cs="Arial"/>
        </w:rPr>
        <w:t xml:space="preserve">Figure </w:t>
      </w:r>
      <w:r w:rsidRPr="007F531F">
        <w:rPr>
          <w:rFonts w:ascii="Arial" w:hAnsi="Arial" w:cs="Arial"/>
        </w:rPr>
        <w:fldChar w:fldCharType="begin"/>
      </w:r>
      <w:r w:rsidRPr="007F531F">
        <w:rPr>
          <w:rFonts w:ascii="Arial" w:hAnsi="Arial" w:cs="Arial"/>
        </w:rPr>
        <w:instrText xml:space="preserve"> SEQ Figure \* ARABIC </w:instrText>
      </w:r>
      <w:r w:rsidRPr="007F531F">
        <w:rPr>
          <w:rFonts w:ascii="Arial" w:hAnsi="Arial" w:cs="Arial"/>
        </w:rPr>
        <w:fldChar w:fldCharType="separate"/>
      </w:r>
      <w:r w:rsidRPr="007F531F">
        <w:rPr>
          <w:rFonts w:ascii="Arial" w:hAnsi="Arial" w:cs="Arial"/>
          <w:noProof/>
        </w:rPr>
        <w:t>1</w:t>
      </w:r>
      <w:r w:rsidRPr="007F531F">
        <w:rPr>
          <w:rFonts w:ascii="Arial" w:hAnsi="Arial" w:cs="Arial"/>
        </w:rPr>
        <w:fldChar w:fldCharType="end"/>
      </w:r>
      <w:bookmarkEnd w:id="3"/>
      <w:r w:rsidRPr="007F531F">
        <w:rPr>
          <w:rFonts w:ascii="Arial" w:hAnsi="Arial" w:cs="Arial"/>
        </w:rPr>
        <w:t xml:space="preserve"> SL timing relationship</w:t>
      </w:r>
    </w:p>
    <w:p w:rsidR="00786ACB" w:rsidRDefault="003C7C4E" w:rsidP="007F531F">
      <w:pPr>
        <w:rPr>
          <w:lang w:eastAsia="en-US"/>
        </w:rPr>
      </w:pPr>
      <w:r>
        <w:rPr>
          <w:lang w:eastAsia="en-US"/>
        </w:rPr>
        <w:t>Since there are no firm conclusion and response from RAN1, t</w:t>
      </w:r>
      <w:r w:rsidR="00786ACB">
        <w:rPr>
          <w:lang w:eastAsia="en-US"/>
        </w:rPr>
        <w:t>he discussion thereby consider two cases, one is that SL timing in aligned with DL timing, the other one is SL timing is aligned with UL timing.</w:t>
      </w:r>
    </w:p>
    <w:p w:rsidR="00786ACB" w:rsidRDefault="0071417D" w:rsidP="00786ACB">
      <w:pPr>
        <w:rPr>
          <w:lang w:val="en-US"/>
        </w:rPr>
      </w:pPr>
      <w:r>
        <w:rPr>
          <w:lang w:val="en-US"/>
        </w:rPr>
        <w:t>For SL transmission timing is aligned with DL timing, f</w:t>
      </w:r>
      <w:r w:rsidR="00786ACB">
        <w:rPr>
          <w:lang w:val="en-US"/>
        </w:rPr>
        <w:t xml:space="preserve">rom Figure 1, it can be observed that if UL slot is ahead of SL slot, there is a gap between UL and SL. In this scenario, there is no interference between Uu and SL. While if UL transmission is immediately after SL slot, a guard period </w:t>
      </w:r>
      <w:r>
        <w:rPr>
          <w:lang w:val="en-US"/>
        </w:rPr>
        <w:t xml:space="preserve">needs to be considered. The guard period should at least cover: </w:t>
      </w:r>
      <w:r w:rsidRPr="0071417D">
        <w:rPr>
          <w:b/>
          <w:lang w:val="en-US"/>
        </w:rPr>
        <w:t>TA + TA</w:t>
      </w:r>
      <w:r w:rsidRPr="0071417D">
        <w:rPr>
          <w:b/>
          <w:vertAlign w:val="subscript"/>
          <w:lang w:val="en-US"/>
        </w:rPr>
        <w:t>offset</w:t>
      </w:r>
      <w:r w:rsidRPr="0071417D">
        <w:rPr>
          <w:b/>
          <w:lang w:val="en-US"/>
        </w:rPr>
        <w:t xml:space="preserve"> + switching period</w:t>
      </w:r>
    </w:p>
    <w:p w:rsidR="00786ACB" w:rsidRPr="00786ACB" w:rsidRDefault="0071417D" w:rsidP="00786ACB">
      <w:pPr>
        <w:rPr>
          <w:lang w:val="en-US"/>
        </w:rPr>
      </w:pPr>
      <w:r>
        <w:rPr>
          <w:lang w:val="en-US"/>
        </w:rPr>
        <w:t>For SL transmission timing is aligned with UL timing, there is no guard period needed. Only switching period should be considered.</w:t>
      </w:r>
    </w:p>
    <w:p w:rsidR="005369EE" w:rsidRDefault="005369EE" w:rsidP="005369EE">
      <w:pPr>
        <w:rPr>
          <w:b/>
          <w:i/>
          <w:lang w:val="en-US" w:eastAsia="en-US"/>
        </w:rPr>
      </w:pPr>
      <w:r>
        <w:rPr>
          <w:b/>
          <w:i/>
          <w:lang w:val="en-US" w:eastAsia="en-US"/>
        </w:rPr>
        <w:t xml:space="preserve">Observation </w:t>
      </w:r>
      <w:r w:rsidR="00E51229">
        <w:rPr>
          <w:b/>
          <w:i/>
          <w:lang w:val="en-US" w:eastAsia="en-US"/>
        </w:rPr>
        <w:t>2</w:t>
      </w:r>
      <w:r>
        <w:rPr>
          <w:b/>
          <w:i/>
          <w:lang w:val="en-US" w:eastAsia="en-US"/>
        </w:rPr>
        <w:t xml:space="preserve">: </w:t>
      </w:r>
      <w:r w:rsidR="0071417D">
        <w:rPr>
          <w:b/>
          <w:i/>
          <w:lang w:val="en-US" w:eastAsia="en-US"/>
        </w:rPr>
        <w:t xml:space="preserve">If SL transmission timing is aligned with received DL timing, to avoid interference between Uu and SL, guard period </w:t>
      </w:r>
      <w:r w:rsidR="00E51229">
        <w:rPr>
          <w:b/>
          <w:i/>
          <w:lang w:val="en-US" w:eastAsia="en-US"/>
        </w:rPr>
        <w:t>should be considered</w:t>
      </w:r>
    </w:p>
    <w:p w:rsidR="00167F84" w:rsidRPr="005369EE" w:rsidRDefault="00167F84" w:rsidP="005369EE">
      <w:pPr>
        <w:rPr>
          <w:b/>
          <w:i/>
          <w:lang w:val="en-US" w:eastAsia="en-US"/>
        </w:rPr>
      </w:pPr>
      <w:r w:rsidRPr="005369EE">
        <w:rPr>
          <w:b/>
          <w:i/>
          <w:lang w:val="en-US" w:eastAsia="en-US"/>
        </w:rPr>
        <w:t xml:space="preserve">Proposal </w:t>
      </w:r>
      <w:r w:rsidR="00E51229">
        <w:rPr>
          <w:b/>
          <w:i/>
          <w:lang w:val="en-US" w:eastAsia="en-US"/>
        </w:rPr>
        <w:t>2</w:t>
      </w:r>
      <w:r w:rsidRPr="005369EE">
        <w:rPr>
          <w:b/>
          <w:i/>
          <w:lang w:val="en-US" w:eastAsia="en-US"/>
        </w:rPr>
        <w:t>:</w:t>
      </w:r>
      <w:r w:rsidR="00E51229">
        <w:rPr>
          <w:b/>
          <w:i/>
          <w:lang w:val="en-US" w:eastAsia="en-US"/>
        </w:rPr>
        <w:t xml:space="preserve"> It is proposed to wait for the response from RAN1 on SL timing alignment issue to decide whether guard period should be considered</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51229">
        <w:t xml:space="preserve">consideration on TDM operation. </w:t>
      </w:r>
    </w:p>
    <w:p w:rsidR="00E51229" w:rsidRDefault="00E51229" w:rsidP="00E51229">
      <w:pPr>
        <w:rPr>
          <w:b/>
          <w:i/>
          <w:lang w:val="en-US" w:eastAsia="en-US"/>
        </w:rPr>
      </w:pPr>
      <w:r w:rsidRPr="008B41AF">
        <w:rPr>
          <w:b/>
          <w:i/>
          <w:lang w:val="en-US" w:eastAsia="en-US"/>
        </w:rPr>
        <w:t>Observation</w:t>
      </w:r>
      <w:r>
        <w:rPr>
          <w:b/>
          <w:i/>
          <w:lang w:val="en-US" w:eastAsia="en-US"/>
        </w:rPr>
        <w:t xml:space="preserve"> 1</w:t>
      </w:r>
      <w:r w:rsidRPr="008B41AF">
        <w:rPr>
          <w:b/>
          <w:i/>
          <w:lang w:val="en-US" w:eastAsia="en-US"/>
        </w:rPr>
        <w:t xml:space="preserve">: </w:t>
      </w:r>
      <w:r>
        <w:rPr>
          <w:b/>
          <w:i/>
          <w:lang w:val="en-US" w:eastAsia="en-US"/>
        </w:rPr>
        <w:t>The switching time discussed in Rel-16 is for cases of different carriers between LTE SL and NR SL, which is not appropriate Rel-17 for switching case in same carrier for Uu and SL</w:t>
      </w:r>
    </w:p>
    <w:p w:rsidR="00E51229" w:rsidRDefault="00E51229" w:rsidP="00E51229">
      <w:pPr>
        <w:rPr>
          <w:b/>
          <w:i/>
          <w:lang w:val="en-US" w:eastAsia="en-US"/>
        </w:rPr>
      </w:pPr>
      <w:r>
        <w:rPr>
          <w:b/>
          <w:i/>
          <w:lang w:val="en-US" w:eastAsia="en-US"/>
        </w:rPr>
        <w:t>Proposal 1: It is proposed to consider switching time separately for cases of same carrier and different carriers</w:t>
      </w:r>
    </w:p>
    <w:p w:rsidR="00E51229" w:rsidRDefault="00E51229" w:rsidP="00E51229">
      <w:pPr>
        <w:rPr>
          <w:b/>
          <w:i/>
          <w:lang w:val="en-US" w:eastAsia="en-US"/>
        </w:rPr>
      </w:pPr>
      <w:r>
        <w:rPr>
          <w:b/>
          <w:i/>
          <w:lang w:val="en-US" w:eastAsia="en-US"/>
        </w:rPr>
        <w:t>Observation 2: If SL transmission timing is aligned with received DL timing, to avoid interference between Uu and SL, guard period should be considered</w:t>
      </w:r>
    </w:p>
    <w:p w:rsidR="00E51229" w:rsidRPr="005369EE" w:rsidRDefault="00E51229" w:rsidP="00E51229">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wait for the response from RAN1 on SL timing alignment issue to decide whether guard period should be considered</w:t>
      </w:r>
    </w:p>
    <w:p w:rsidR="00E51229" w:rsidRPr="008B41AF" w:rsidRDefault="00E51229" w:rsidP="00E51229">
      <w:pPr>
        <w:rPr>
          <w:b/>
          <w:i/>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E715E" w:rsidRPr="005E715E">
        <w:t>R4-2107868</w:t>
      </w:r>
      <w:r w:rsidR="005369EE">
        <w:t>,</w:t>
      </w:r>
      <w:r w:rsidR="005369EE" w:rsidRPr="005369EE">
        <w:t xml:space="preserve"> </w:t>
      </w:r>
      <w:r w:rsidR="005E715E" w:rsidRPr="005E715E">
        <w:t>WF on operating scenarios for Uu and SL operating in the same licensed band</w:t>
      </w:r>
      <w:r w:rsidR="005369EE">
        <w:t xml:space="preserve">, </w:t>
      </w:r>
      <w:r w:rsidR="005E715E">
        <w:t>CATT</w:t>
      </w:r>
    </w:p>
    <w:p w:rsidR="005E715E" w:rsidRDefault="005E715E" w:rsidP="00F71A33">
      <w:r>
        <w:t xml:space="preserve">[2] </w:t>
      </w:r>
      <w:r w:rsidRPr="00595F11">
        <w:t>R4-2111542</w:t>
      </w:r>
      <w:r>
        <w:t xml:space="preserve">, </w:t>
      </w:r>
      <w:r w:rsidRPr="00595F11">
        <w:t>LS on synchronous operation between Uu and SL in TDD band</w:t>
      </w:r>
      <w:r>
        <w:t>, CATT</w:t>
      </w:r>
    </w:p>
    <w:sectPr w:rsidR="005E715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4A8" w:rsidRDefault="007E74A8" w:rsidP="0052762B">
      <w:r>
        <w:separator/>
      </w:r>
    </w:p>
  </w:endnote>
  <w:endnote w:type="continuationSeparator" w:id="0">
    <w:p w:rsidR="007E74A8" w:rsidRDefault="007E74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4A8" w:rsidRDefault="007E74A8" w:rsidP="0052762B">
      <w:r>
        <w:separator/>
      </w:r>
    </w:p>
  </w:footnote>
  <w:footnote w:type="continuationSeparator" w:id="0">
    <w:p w:rsidR="007E74A8" w:rsidRDefault="007E74A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859CF"/>
    <w:multiLevelType w:val="hybridMultilevel"/>
    <w:tmpl w:val="27205940"/>
    <w:lvl w:ilvl="0" w:tplc="310AC0D6">
      <w:start w:val="1"/>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38"/>
  </w:num>
  <w:num w:numId="5">
    <w:abstractNumId w:val="1"/>
  </w:num>
  <w:num w:numId="6">
    <w:abstractNumId w:val="37"/>
  </w:num>
  <w:num w:numId="7">
    <w:abstractNumId w:val="18"/>
  </w:num>
  <w:num w:numId="8">
    <w:abstractNumId w:val="31"/>
  </w:num>
  <w:num w:numId="9">
    <w:abstractNumId w:val="40"/>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6"/>
  </w:num>
  <w:num w:numId="25">
    <w:abstractNumId w:val="8"/>
  </w:num>
  <w:num w:numId="26">
    <w:abstractNumId w:val="35"/>
  </w:num>
  <w:num w:numId="27">
    <w:abstractNumId w:val="34"/>
  </w:num>
  <w:num w:numId="28">
    <w:abstractNumId w:val="19"/>
  </w:num>
  <w:num w:numId="29">
    <w:abstractNumId w:val="39"/>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13"/>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763"/>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F10"/>
    <w:rsid w:val="002A60DC"/>
    <w:rsid w:val="002A614B"/>
    <w:rsid w:val="002A6857"/>
    <w:rsid w:val="002A6AA0"/>
    <w:rsid w:val="002A75E3"/>
    <w:rsid w:val="002A7870"/>
    <w:rsid w:val="002B1F8F"/>
    <w:rsid w:val="002B1FF1"/>
    <w:rsid w:val="002B1FF9"/>
    <w:rsid w:val="002B2455"/>
    <w:rsid w:val="002B2516"/>
    <w:rsid w:val="002B2E25"/>
    <w:rsid w:val="002B45AA"/>
    <w:rsid w:val="002B462C"/>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C7C4E"/>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15E"/>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7D"/>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ACB"/>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4A8"/>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31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1A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F58"/>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22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922905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0153080">
      <w:bodyDiv w:val="1"/>
      <w:marLeft w:val="0"/>
      <w:marRight w:val="0"/>
      <w:marTop w:val="0"/>
      <w:marBottom w:val="0"/>
      <w:divBdr>
        <w:top w:val="none" w:sz="0" w:space="0" w:color="auto"/>
        <w:left w:val="none" w:sz="0" w:space="0" w:color="auto"/>
        <w:bottom w:val="none" w:sz="0" w:space="0" w:color="auto"/>
        <w:right w:val="none" w:sz="0" w:space="0" w:color="auto"/>
      </w:divBdr>
      <w:divsChild>
        <w:div w:id="652098275">
          <w:marLeft w:val="1080"/>
          <w:marRight w:val="0"/>
          <w:marTop w:val="100"/>
          <w:marBottom w:val="12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5A925-5442-48F8-B850-9CA6EE32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107</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2021-08-06T03:30:00Z</dcterms:created>
  <dcterms:modified xsi:type="dcterms:W3CDTF">2021-08-06T19:03:00Z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(3)4Ilz3r3dgTAXKE3ECdXiDJnlxvZEBSd9x5x2rKBhB+q3YtoTNM4LTsHyWN4OwblBeEcfJosN
2/7rngPGXn+kA2MT0JLOJEh/c64YtS5JKW+k05R7lFIsXF4uLpkH1JyJ7MTkrAFtGlY8XzbI
qknNR3mrxLVfXPzMtTHsVppbo1xOediN7fs4fgqBrYyat8wnUIU3mOGbVFJ4XuNxcx6zHJ4T
OhqUzbRTuJWzbUHBRE</vt:lpwstr>
  </property>
  <property fmtid="{D5CDD505-2E9C-101B-9397-08002B2CF9AE}" pid="15" name="_2015_ms_pID_725343_00">
    <vt:lpwstr>_2015_ms_pID_725343</vt:lpwstr>
  </property>
  <property fmtid="{D5CDD505-2E9C-101B-9397-08002B2CF9AE}" pid="16" name="_2015_ms_pID_7253431">
    <vt:lpwstr>He11/vXRxzV56w7i+TMP/zdihHwgkK18vr4ecj6uTXeJI5aBE+7N/B
ZvzT2ldKikHCSd34AT40OLcpAy+rBPOANkAzSV68Z/B3gKqDzMokPowa3K49BxU7Pd/tYg7p
50PIDmCrfTBE3uN99d83N2WMCUTVECCvOgKBGUIjpzVup2hx8L6LEd60xMjplqaJh25tVHiL
9s3kU1t3GqgViYs4dMMWaxM2X90EfP07Byg0</vt:lpwstr>
  </property>
  <property fmtid="{D5CDD505-2E9C-101B-9397-08002B2CF9AE}" pid="17" name="_2015_ms_pID_7253431_00">
    <vt:lpwstr>_2015_ms_pID_7253431</vt:lpwstr>
  </property>
  <property fmtid="{D5CDD505-2E9C-101B-9397-08002B2CF9AE}" pid="18" name="_2015_ms_pID_7253432">
    <vt:lpwstr>d/SBjFqshIXq9g9VFgDmzo0=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